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научный сотрудник в лабораторию фармакокинетики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«химия»,  «фармация», «аналитическая химия» или смежных;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по специальности не менее 10 лет или степень кандидата наук;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2 научных трудов, опубликованных в журналах, индексируемых в Web of Science / Scopus, из них не менее 1 статьи в изданиях первого и второго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Upper Intermediate;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базовыми лабораторными техниками;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дипломными, диссертационными работами, научной группой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80 000 до 140 000 р. в месяц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Организация и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LazjbRl48CogXXxmL4dImN0CA==">AMUW2mWUf3szqKUM1MtYwblnTPHDiZWvbdbCF7e5YYRPeAPgTkr2ts05AGPkSlfpAOnPLFt26VRPZ/zP66Iot/vAyUm5MjM/lXZEKlwm2YCf7/Og7ULW458zW2wj73IAeHfuqVFtdK+l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